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E4" w:rsidRDefault="00A345E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345E4" w:rsidRDefault="00A345E4">
      <w:pPr>
        <w:pStyle w:val="ConsPlusNormal"/>
        <w:jc w:val="both"/>
        <w:outlineLvl w:val="0"/>
      </w:pPr>
    </w:p>
    <w:p w:rsidR="00A345E4" w:rsidRDefault="00A345E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345E4" w:rsidRDefault="00A345E4">
      <w:pPr>
        <w:pStyle w:val="ConsPlusTitle"/>
        <w:jc w:val="center"/>
      </w:pPr>
    </w:p>
    <w:p w:rsidR="00A345E4" w:rsidRDefault="00A345E4">
      <w:pPr>
        <w:pStyle w:val="ConsPlusTitle"/>
        <w:jc w:val="center"/>
      </w:pPr>
      <w:bookmarkStart w:id="0" w:name="_GoBack"/>
      <w:r>
        <w:t>ПОСТАНОВЛЕНИЕ</w:t>
      </w:r>
    </w:p>
    <w:p w:rsidR="00A345E4" w:rsidRDefault="00A345E4">
      <w:pPr>
        <w:pStyle w:val="ConsPlusTitle"/>
        <w:jc w:val="center"/>
      </w:pPr>
      <w:r>
        <w:t>от 6 мая 2016 г. N 394</w:t>
      </w:r>
    </w:p>
    <w:p w:rsidR="00A345E4" w:rsidRDefault="00A345E4">
      <w:pPr>
        <w:pStyle w:val="ConsPlusTitle"/>
        <w:jc w:val="center"/>
      </w:pPr>
    </w:p>
    <w:p w:rsidR="00A345E4" w:rsidRDefault="00A345E4">
      <w:pPr>
        <w:pStyle w:val="ConsPlusTitle"/>
        <w:jc w:val="center"/>
      </w:pPr>
      <w:r>
        <w:t>ОБ ОПРОБОВАНИИ, АНАЛИЗЕ И КЛЕЙМЕНИИ</w:t>
      </w:r>
    </w:p>
    <w:p w:rsidR="00A345E4" w:rsidRDefault="00A345E4">
      <w:pPr>
        <w:pStyle w:val="ConsPlusTitle"/>
        <w:jc w:val="center"/>
      </w:pPr>
      <w:r>
        <w:t>ЮВЕЛИРНЫХ И ДРУГИХ ИЗДЕЛИЙ ИЗ ДРАГОЦЕННЫХ МЕТАЛЛОВ</w:t>
      </w:r>
    </w:p>
    <w:bookmarkEnd w:id="0"/>
    <w:p w:rsidR="00A345E4" w:rsidRDefault="00A345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45E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5E4" w:rsidRDefault="00A345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5E4" w:rsidRDefault="00A345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45E4" w:rsidRDefault="00A345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45E4" w:rsidRDefault="00A345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25.04.2020 </w:t>
            </w:r>
            <w:hyperlink r:id="rId5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>,</w:t>
            </w:r>
          </w:p>
          <w:p w:rsidR="00A345E4" w:rsidRDefault="00A345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26.02.2021 </w:t>
            </w:r>
            <w:hyperlink r:id="rId6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5E4" w:rsidRDefault="00A345E4">
            <w:pPr>
              <w:pStyle w:val="ConsPlusNormal"/>
            </w:pPr>
          </w:p>
        </w:tc>
      </w:tr>
    </w:tbl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ind w:firstLine="540"/>
        <w:jc w:val="both"/>
      </w:pPr>
      <w:r>
        <w:t>В соответствии с Федеральным законом "О драгоценных металлах и драгоценных камнях" Правительство Российской Федерации постановляет: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A345E4" w:rsidRDefault="001A366C">
      <w:pPr>
        <w:pStyle w:val="ConsPlusNormal"/>
        <w:spacing w:before="200"/>
        <w:ind w:firstLine="540"/>
        <w:jc w:val="both"/>
      </w:pPr>
      <w:hyperlink w:anchor="P31">
        <w:r w:rsidR="00A345E4">
          <w:rPr>
            <w:color w:val="0000FF"/>
          </w:rPr>
          <w:t>Правила</w:t>
        </w:r>
      </w:hyperlink>
      <w:r w:rsidR="00A345E4">
        <w:t xml:space="preserve"> опробования, анализа и клеймения ювелирных и других изделий из драгоценных металлов;</w:t>
      </w:r>
    </w:p>
    <w:p w:rsidR="00A345E4" w:rsidRDefault="001A366C">
      <w:pPr>
        <w:pStyle w:val="ConsPlusNormal"/>
        <w:spacing w:before="200"/>
        <w:ind w:firstLine="540"/>
        <w:jc w:val="both"/>
      </w:pPr>
      <w:hyperlink w:anchor="P109">
        <w:r w:rsidR="00A345E4">
          <w:rPr>
            <w:color w:val="0000FF"/>
          </w:rPr>
          <w:t>перечень</w:t>
        </w:r>
      </w:hyperlink>
      <w:r w:rsidR="00A345E4">
        <w:t xml:space="preserve"> проб драгоценных металлов.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июня 1999 г. N 643 "О порядке опробования и клеймения изделий из драгоценных металлов" (Собрание законодательства Российской Федерации, 1999, N 27, ст. 3359).</w:t>
      </w: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right"/>
      </w:pPr>
      <w:r>
        <w:t>Председатель Правительства</w:t>
      </w:r>
    </w:p>
    <w:p w:rsidR="00A345E4" w:rsidRDefault="00A345E4">
      <w:pPr>
        <w:pStyle w:val="ConsPlusNormal"/>
        <w:jc w:val="right"/>
      </w:pPr>
      <w:r>
        <w:t>Российской Федерации</w:t>
      </w:r>
    </w:p>
    <w:p w:rsidR="00A345E4" w:rsidRDefault="00A345E4">
      <w:pPr>
        <w:pStyle w:val="ConsPlusNormal"/>
        <w:jc w:val="right"/>
      </w:pPr>
      <w:r>
        <w:t>Д.МЕДВЕДЕВ</w:t>
      </w: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right"/>
        <w:outlineLvl w:val="0"/>
      </w:pPr>
      <w:r>
        <w:t>Утверждены</w:t>
      </w:r>
    </w:p>
    <w:p w:rsidR="00A345E4" w:rsidRDefault="00A345E4">
      <w:pPr>
        <w:pStyle w:val="ConsPlusNormal"/>
        <w:jc w:val="right"/>
      </w:pPr>
      <w:r>
        <w:t>постановлением Правительства</w:t>
      </w:r>
    </w:p>
    <w:p w:rsidR="00A345E4" w:rsidRDefault="00A345E4">
      <w:pPr>
        <w:pStyle w:val="ConsPlusNormal"/>
        <w:jc w:val="right"/>
      </w:pPr>
      <w:r>
        <w:t>Российской Федерации</w:t>
      </w:r>
    </w:p>
    <w:p w:rsidR="00A345E4" w:rsidRDefault="00A345E4">
      <w:pPr>
        <w:pStyle w:val="ConsPlusNormal"/>
        <w:jc w:val="right"/>
      </w:pPr>
      <w:r>
        <w:t>от 6 мая 2016 г. N 394</w:t>
      </w: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Title"/>
        <w:jc w:val="center"/>
      </w:pPr>
      <w:bookmarkStart w:id="1" w:name="P31"/>
      <w:bookmarkEnd w:id="1"/>
      <w:r>
        <w:t>ПРАВИЛА</w:t>
      </w:r>
    </w:p>
    <w:p w:rsidR="00A345E4" w:rsidRDefault="00A345E4">
      <w:pPr>
        <w:pStyle w:val="ConsPlusTitle"/>
        <w:jc w:val="center"/>
      </w:pPr>
      <w:r>
        <w:t>ОПРОБОВАНИЯ, АНАЛИЗА И КЛЕЙМЕНИЯ ЮВЕЛИРНЫХ И ДРУГИХ ИЗДЕЛИЙ</w:t>
      </w:r>
    </w:p>
    <w:p w:rsidR="00A345E4" w:rsidRDefault="00A345E4">
      <w:pPr>
        <w:pStyle w:val="ConsPlusTitle"/>
        <w:jc w:val="center"/>
      </w:pPr>
      <w:r>
        <w:t>ИЗ ДРАГОЦЕННЫХ МЕТАЛЛОВ</w:t>
      </w:r>
    </w:p>
    <w:p w:rsidR="00A345E4" w:rsidRDefault="00A345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45E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5E4" w:rsidRDefault="00A345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5E4" w:rsidRDefault="00A345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45E4" w:rsidRDefault="00A345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45E4" w:rsidRDefault="00A345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25.04.2020 </w:t>
            </w:r>
            <w:hyperlink r:id="rId8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>,</w:t>
            </w:r>
          </w:p>
          <w:p w:rsidR="00A345E4" w:rsidRDefault="00A345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26.02.2021 </w:t>
            </w:r>
            <w:hyperlink r:id="rId9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5E4" w:rsidRDefault="00A345E4">
            <w:pPr>
              <w:pStyle w:val="ConsPlusNormal"/>
            </w:pPr>
          </w:p>
        </w:tc>
      </w:tr>
    </w:tbl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ind w:firstLine="540"/>
        <w:jc w:val="both"/>
      </w:pPr>
      <w:r>
        <w:t>1. Настоящие Правила устанавливают порядок осуществления опробования, анализа и клеймения государственным пробирным клеймом ювелирных и других изделий из драгоценных металлов отечественного производства, а также ввезенных на территорию Российской Федерации из стран, не входящих в Евразийский экономический союз, ювелирных и других изделий из драгоценных металлов (далее - ввезенные ювелирные и другие изделия из драгоценных металлов) и перемещенных на территорию Российской Федерации из стран, входящих в Евразийский экономический союз, ювелирных и других изделий из драгоценных металлов (далее - перемещенные ювелирные и другие изделия из драгоценных металлов).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 xml:space="preserve">На опробование, анализ и клеймение принимаются также ювелирные и другие изделия из драгоценных металлов после ремонта (реставрации), невостребованные ювелирные и другие </w:t>
      </w:r>
      <w:r>
        <w:lastRenderedPageBreak/>
        <w:t>изделия из драгоценных металлов, на которые ломбардом обращено взыскание в соответствии с законодательством Российской Федерации, ювелирные и другие изделия из драгоценных металлов, принятые на комиссию от граждан (физических лиц), а также ювелирные и другие изделия из драгоценных металлов, представленные физическими лицами.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26.02.2021 N 270)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2. Опробование, анализ и клеймение ювелирных и других изделий из драгоценных металлов в Российской Федерации осуществляет Федеральная пробирная палата через свои территориальные органы.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3. Ювелирные и другие изделия из драгоценных металлов отечественного производства, в том числе после ремонта (реставрации), представляются на опробование, анализ и клеймение их изготовителями в территориальный орган Федеральной пробирной палаты, в районе деятельности которого они находятся.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A345E4" w:rsidRDefault="00A345E4">
      <w:pPr>
        <w:pStyle w:val="ConsPlusNormal"/>
        <w:spacing w:before="200"/>
        <w:ind w:firstLine="540"/>
        <w:jc w:val="both"/>
      </w:pPr>
      <w:bookmarkStart w:id="2" w:name="P45"/>
      <w:bookmarkEnd w:id="2"/>
      <w:r>
        <w:t>Невостребованные ювелирные и другие изделия из драгоценных металлов, на которые обращено взыскание в соответствии с законодательством Российской Федерации, представляются ломбардами на опробование и клеймение в территориальный орган Федеральной пробирной палаты, в районе деятельности которого они находятся.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Ювелирные и другие изделия из драгоценных металлов, принятые по договору комиссии от граждан (физических лиц), представляются юридическими лицами и индивидуальными предпринимателями, осуществляющими розничную торговлю ювелирными изделиями, на опробование и клеймение в территориальный орган Федеральной пробирной палаты, в районе деятельности которого они находятся.</w:t>
      </w:r>
    </w:p>
    <w:p w:rsidR="00A345E4" w:rsidRDefault="00A345E4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26.02.2021 N 270)</w:t>
      </w:r>
    </w:p>
    <w:p w:rsidR="00A345E4" w:rsidRDefault="00A345E4">
      <w:pPr>
        <w:pStyle w:val="ConsPlusNormal"/>
        <w:spacing w:before="200"/>
        <w:ind w:firstLine="540"/>
        <w:jc w:val="both"/>
      </w:pPr>
      <w:bookmarkStart w:id="3" w:name="P49"/>
      <w:bookmarkEnd w:id="3"/>
      <w:r>
        <w:t>Ювелирные и другие изделия из драгоценных металлов представляются физическими лицами на опробование и клеймение в любой территориальный орган Федеральной пробирной палаты.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A345E4" w:rsidRDefault="00A345E4">
      <w:pPr>
        <w:pStyle w:val="ConsPlusNormal"/>
        <w:spacing w:before="200"/>
        <w:ind w:firstLine="540"/>
        <w:jc w:val="both"/>
      </w:pPr>
      <w:bookmarkStart w:id="4" w:name="P51"/>
      <w:bookmarkEnd w:id="4"/>
      <w:r>
        <w:t xml:space="preserve">Анализ ювелирных и других изделий из драгоценных металлов, указанных в </w:t>
      </w:r>
      <w:hyperlink w:anchor="P45">
        <w:r>
          <w:rPr>
            <w:color w:val="0000FF"/>
          </w:rPr>
          <w:t>абзацах втором</w:t>
        </w:r>
      </w:hyperlink>
      <w:r>
        <w:t xml:space="preserve"> - </w:t>
      </w:r>
      <w:hyperlink w:anchor="P49">
        <w:r>
          <w:rPr>
            <w:color w:val="0000FF"/>
          </w:rPr>
          <w:t>четвертом</w:t>
        </w:r>
      </w:hyperlink>
      <w:r>
        <w:t xml:space="preserve"> настоящего пункта, а также ювелирных изделий из драгоценных металлов после ремонта (реставрации) производится с письменного разрешения сдатчика таких изделий.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26.02.2021 N 270)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4. Ввезенные или перемещенные ювелирные и другие изделия из драгоценных металлов представляются на опробование, анализ и клеймение юридическими лицами или индивидуальными предпринимателями, осуществившими соответственно ввоз или перемещение указанных изделий, в любой территориальный орган Федеральной пробирной палаты.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5. Прием на опробование, анализ и клеймение ювелирных и других изделий из драгоценных металлов осуществляется при предъявлении: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а) изготовителями - копии уведомления о постановке на специальный учет юридического лица или индивидуального предпринимателя, осуществляющего операции с драгоценными металлами и драгоценными камнями;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б) ломбардами - копии залогового билета;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в) физическими лицами - документа, удостоверяющего личность;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г) юридическими лицами или индивидуальными предпринимателями, осуществившими ввоз указанных изделий, - акта государственного контроля товаров, содержащих драгоценные металлы и драгоценные камни, ввозимых на территорию государства - члена Евразийского экономического союза, и таможенной декларации;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д) юридическими лицами или индивидуальными предпринимателями, осуществившими перемещение указанных изделий, - стандартных коммерческих и товарно-транспортных документов, предусмотренных правом Евразийского экономического союза.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lastRenderedPageBreak/>
        <w:t>6. На территории Российской Федерации могут находиться в обороте и реализовываться ювелирные и другие изделия из драгоценных металлов, заклейменные в соответствии с ранее установленным порядком.</w:t>
      </w:r>
    </w:p>
    <w:p w:rsidR="00A345E4" w:rsidRDefault="00A345E4">
      <w:pPr>
        <w:pStyle w:val="ConsPlusNormal"/>
        <w:spacing w:before="200"/>
        <w:ind w:firstLine="540"/>
        <w:jc w:val="both"/>
      </w:pPr>
      <w:proofErr w:type="spellStart"/>
      <w:r>
        <w:t>Переклеймение</w:t>
      </w:r>
      <w:proofErr w:type="spellEnd"/>
      <w:r>
        <w:t xml:space="preserve"> ювелирных и других изделий из драгоценных металлов, прошедших клеймение до введения метрической системы проб, производится в соответствии с настоящими Правилами.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7. Ювелирные и другие изделия из драгоценных металлов должны соответствовать установленным в Российской Федерации пробам.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Ювелирные и другие изделия из драгоценных металлов, имеющие пробу ниже одной из установленных в Российской Федерации для соответствующего драгоценного металла проб, должны быть заклеймены по ближайшей нижней установленной пробе.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Изделия, имеющие пробу ниже установленной в Российской Федерации минимальной пробы, не подлежат клеймению.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Проба ювелирных и других изделий из драгоценных металлов, покрытых слоем другого драгоценного металла, определяется по основному сплаву, из которого изготовлено указанное изделие.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8. Допускается изготовление ювелирных и других изделий из золота 583 пробы по заказам физических лиц из принадлежащих им ювелирных и других изделий из золота указанной пробы.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9. Государственные пробирные клейма, их элементы, а также технические характеристики элементов государственных пробирных клейм утверждаются Федеральной пробирной палатой.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Элементами государственных пробирных клейм являются формы и знаки государственных пробирных клейм, а также шифры территориальных органов Федеральной пробирной палаты и их структурных подразделений.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26.02.2021 N 270)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10. Клеймение ювелирных и других изделий из драгоценных металлов осуществляется механическим, лазерным и электроискровым методами.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Выбор метода клеймения ювелирных и других изделий из драгоценных металлов определяется территориальным органом Федеральной пробирной палаты по согласованию с лицом, представляющим их на опробование и клеймение, в порядке, устанавливаемом Федеральной пробирной палатой.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 xml:space="preserve">11. Ювелирные и другие изделия из драгоценных металлов отечественного производства, представляемые на опробование, анализ и клеймение, должны иметь четкий оттиск зарегистрированного в установленном порядке </w:t>
      </w:r>
      <w:proofErr w:type="spellStart"/>
      <w:r>
        <w:t>именника</w:t>
      </w:r>
      <w:proofErr w:type="spellEnd"/>
      <w:r>
        <w:t>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12. Ювелирные и другие изделия из драгоценных металлов отечественного производства, а также ввезенные и перемещенные ювелирные и другие изделия из драгоценных металлов для целей продажи, в том числе после ремонта (реставрации), должны иметь подготовленную площадку для наложения четких оттисков государственных пробирных клейм как на основной, так и второстепенных и дополнительных частях указанных изделий.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13. Ювелирные и другие изделия из драгоценных металлов отечественного производства, а также ввезенные и перемещенные ювелирные и другие изделия из драгоценных металлов для целей продажи, в том числе после ремонта (реставрации), подлежат возврату в неклейменом виде в случае, если они содержат части, изготовленные из недрагоценных металлов, за исключением: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а) механизмов часов, зажигалок и подобных изделий, которые не могут быть изготовлены из драгоценных металлов по техническим причинам;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б) лезвий ножей, винтовых частей штопоров и подобных частей изделий, которые не могут быть изготовлены из драгоценных металлов;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в) пружин;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lastRenderedPageBreak/>
        <w:t>г) осей шарниров;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д) булавок брошей, булавок зажимов для галстуков, булавок значков и других подобных изделий.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14. Подлежат возврату в неклейменом виде представленные на опробование и клеймение ювелирные и другие изделия из драгоценных металлов: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 xml:space="preserve">а) без оттисков </w:t>
      </w:r>
      <w:proofErr w:type="spellStart"/>
      <w:r>
        <w:t>именников</w:t>
      </w:r>
      <w:proofErr w:type="spellEnd"/>
      <w:r>
        <w:t xml:space="preserve">, с деформированными оттисками </w:t>
      </w:r>
      <w:proofErr w:type="spellStart"/>
      <w:r>
        <w:t>именников</w:t>
      </w:r>
      <w:proofErr w:type="spellEnd"/>
      <w:r>
        <w:t xml:space="preserve"> или с отсутствием какого-либо элемента (знака) в оттиске, с оттисками </w:t>
      </w:r>
      <w:proofErr w:type="spellStart"/>
      <w:r>
        <w:t>именника</w:t>
      </w:r>
      <w:proofErr w:type="spellEnd"/>
      <w:r>
        <w:t xml:space="preserve"> с закончившимся сроком действия;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б) с покрытием из драгоценного металла с подслоем из недрагоценного металла;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в) с покрытием из недрагоценного металла;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 xml:space="preserve">г) имеющие припой, не соответствующий требованиям </w:t>
      </w:r>
      <w:hyperlink w:anchor="P94">
        <w:r>
          <w:rPr>
            <w:color w:val="0000FF"/>
          </w:rPr>
          <w:t>пункта 17</w:t>
        </w:r>
      </w:hyperlink>
      <w:r>
        <w:t xml:space="preserve"> настоящих Правил.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15. Клеймение ювелирных и других изделий из драгоценных металлов осуществляется на основании результатов опробования и (или) анализа, за исключением ювелирных и других изделий из драгоценных металлов, принятых от ломбардов, физических лиц, а также ювелирных и других изделий из драгоценных металлов, изготовленных по заказам физических лиц.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 xml:space="preserve">Клеймение ювелирных и других изделий из драгоценных металлов, принятых от ломбардов, физических лиц, а также ювелирных и других изделий из драгоценных металлов, изготовленных по заказам физических лиц, осуществляется на основании результатов опробования, а при наличии письменного разрешения, предусмотренного </w:t>
      </w:r>
      <w:hyperlink w:anchor="P51">
        <w:r>
          <w:rPr>
            <w:color w:val="0000FF"/>
          </w:rPr>
          <w:t>абзацем четвертым пункта 3</w:t>
        </w:r>
      </w:hyperlink>
      <w:r>
        <w:t xml:space="preserve"> настоящих Правил, - на основании результатов анализа.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16. Опробование и анализ ювелирных и других изделий из драгоценных металлов проводятся в соответствии с утвержденными Федеральной пробирной палатой нормами отбора проб на опробование и анализ ювелирных и других изделий из драгоценных металлов.</w:t>
      </w:r>
    </w:p>
    <w:p w:rsidR="00A345E4" w:rsidRDefault="00A345E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Инструкции и методические указания по проведению опробования, отбора проб и анализов утверждаются Федеральной пробирной палатой.</w:t>
      </w:r>
    </w:p>
    <w:p w:rsidR="00A345E4" w:rsidRDefault="00A345E4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26.02.2021 N 270)</w:t>
      </w:r>
    </w:p>
    <w:p w:rsidR="00A345E4" w:rsidRDefault="00A345E4">
      <w:pPr>
        <w:pStyle w:val="ConsPlusNormal"/>
        <w:spacing w:before="200"/>
        <w:ind w:firstLine="540"/>
        <w:jc w:val="both"/>
      </w:pPr>
      <w:bookmarkStart w:id="5" w:name="P94"/>
      <w:bookmarkEnd w:id="5"/>
      <w:r>
        <w:t>17. Припои, применяемые при изготовлении или ремонте (реставрации) представляемых на опробование и клеймение ювелирных и других изделий из драгоценных металлов, должны быть изготовлены на основе тех же драгоценных металлов, что и сплавы, из которых изготавливаются указанные изделия, за исключением случаев, установленных настоящим пунктом.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Припои для ювелирных и других изделий из золота, платины и палладия должны иметь ту же пробу, что и основной сплав, из которого изготовлены указанные изделия.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Допускается наличие в ювелирных и других изделиях из платины и палладия припоя белого золота 585 и 750 проб.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Припой для ювелирных и других изделий из серебра должен иметь пробу не ниже 650.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Допускается использование специального припоя, не содержащего драгоценных металлов, для пайки цепей (браслетов), изготавливаемых на станках-автоматах, при условии обеспечения пробы указанных изделий в пределах установленных проб.</w:t>
      </w: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right"/>
        <w:outlineLvl w:val="0"/>
      </w:pPr>
      <w:r>
        <w:t>Утвержден</w:t>
      </w:r>
    </w:p>
    <w:p w:rsidR="00A345E4" w:rsidRDefault="00A345E4">
      <w:pPr>
        <w:pStyle w:val="ConsPlusNormal"/>
        <w:jc w:val="right"/>
      </w:pPr>
      <w:r>
        <w:t>постановлением Правительства</w:t>
      </w:r>
    </w:p>
    <w:p w:rsidR="00A345E4" w:rsidRDefault="00A345E4">
      <w:pPr>
        <w:pStyle w:val="ConsPlusNormal"/>
        <w:jc w:val="right"/>
      </w:pPr>
      <w:r>
        <w:t>Российской Федерации</w:t>
      </w:r>
    </w:p>
    <w:p w:rsidR="00A345E4" w:rsidRDefault="00A345E4">
      <w:pPr>
        <w:pStyle w:val="ConsPlusNormal"/>
        <w:jc w:val="right"/>
      </w:pPr>
      <w:r>
        <w:t>от 6 мая 2016 г. N 394</w:t>
      </w: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Title"/>
        <w:jc w:val="center"/>
      </w:pPr>
      <w:bookmarkStart w:id="6" w:name="P109"/>
      <w:bookmarkEnd w:id="6"/>
      <w:r>
        <w:t>ПЕРЕЧЕНЬ ПРОБ ДРАГОЦЕННЫХ МЕТАЛЛОВ</w:t>
      </w:r>
    </w:p>
    <w:p w:rsidR="00A345E4" w:rsidRDefault="00A345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45E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5E4" w:rsidRDefault="00A345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5E4" w:rsidRDefault="00A345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45E4" w:rsidRDefault="00A345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45E4" w:rsidRDefault="00A345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26.02.2021 N 270)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5E4" w:rsidRDefault="00A345E4">
            <w:pPr>
              <w:pStyle w:val="ConsPlusNormal"/>
            </w:pPr>
          </w:p>
        </w:tc>
      </w:tr>
    </w:tbl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ind w:firstLine="540"/>
        <w:jc w:val="both"/>
      </w:pPr>
      <w:r>
        <w:t>Платиновая 950 (девятьсот пятидесятая)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Платиновая 900 (девятисотая)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Платиновая 850 (восемьсот пятидесятая)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Платиновая 585 (пятьсот восемьдесят пятая)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Золотая 999 (девятьсот девяносто девятая)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Золотая 958 (девятьсот пятьдесят восьмая)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Золотая 916 (девятьсот шестнадцатая)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Золотая 875 (восемьсот семьдесят пятая)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Золотая 750 (семьсот пятидесятая)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Золотая 585 (пятьсот восемьдесят пятая)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Золотая 583 (пятьсот восемьдесят третья) &lt;*&gt;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Золотая 500 (пятисотая)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Золотая 375 (триста семьдесят пятая)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Золотая 333 (триста тридцать третья)</w:t>
      </w:r>
    </w:p>
    <w:p w:rsidR="00A345E4" w:rsidRDefault="00A345E4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26.02.2021 N 270)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Серебряная 999 (девятьсот девяносто девятая)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Серебряная 960 (девятьсот шестидесятая)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Серебряная 925 (девятьсот двадцать пятая)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Серебряная 875 (восемьсот семьдесят пятая)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Серебряная 830 (восемьсот тридцатая)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Серебряная 800 (восьмисотая)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Палладиевая 850 (восемьсот пятидесятая)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Палладиевая 500 (пятисотая)</w:t>
      </w:r>
    </w:p>
    <w:p w:rsidR="00A345E4" w:rsidRDefault="00A345E4">
      <w:pPr>
        <w:pStyle w:val="ConsPlusNormal"/>
        <w:ind w:firstLine="540"/>
        <w:jc w:val="both"/>
      </w:pPr>
    </w:p>
    <w:p w:rsidR="00A345E4" w:rsidRDefault="00A345E4">
      <w:pPr>
        <w:pStyle w:val="ConsPlusNormal"/>
        <w:ind w:firstLine="540"/>
        <w:jc w:val="both"/>
      </w:pPr>
      <w:r>
        <w:t>--------------------------------</w:t>
      </w:r>
    </w:p>
    <w:p w:rsidR="00A345E4" w:rsidRDefault="00A345E4">
      <w:pPr>
        <w:pStyle w:val="ConsPlusNormal"/>
        <w:spacing w:before="200"/>
        <w:ind w:firstLine="540"/>
        <w:jc w:val="both"/>
      </w:pPr>
      <w:r>
        <w:t>&lt;*&gt; Допускается только для изготовления ювелирных изделий из золота по обращениям физических лиц.</w:t>
      </w: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jc w:val="both"/>
      </w:pPr>
    </w:p>
    <w:p w:rsidR="00A345E4" w:rsidRDefault="00A345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0030" w:rsidRDefault="001A366C"/>
    <w:sectPr w:rsidR="00A60030" w:rsidSect="00CA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E4"/>
    <w:rsid w:val="001A366C"/>
    <w:rsid w:val="00774DF2"/>
    <w:rsid w:val="00A345E4"/>
    <w:rsid w:val="00C8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FF1AA-3274-4965-8895-D1F82F22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5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345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345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F98C8553CECAED40E8DD49AA90A200D458648FECE6AC372939B4E30AA499CDB0C95F36157C19BF412B91A8B46B4E828869D7B758283A82s0WCL" TargetMode="External"/><Relationship Id="rId13" Type="http://schemas.openxmlformats.org/officeDocument/2006/relationships/hyperlink" Target="consultantplus://offline/ref=E0F98C8553CECAED40E8DD49AA90A200D458648FECE6AC372939B4E30AA499CDB0C95F36157C19BF432B91A8B46B4E828869D7B758283A82s0WCL" TargetMode="External"/><Relationship Id="rId18" Type="http://schemas.openxmlformats.org/officeDocument/2006/relationships/hyperlink" Target="consultantplus://offline/ref=E0F98C8553CECAED40E8DD49AA90A200D458648FECE6AC372939B4E30AA499CDB0C95F36157C19BF452B91A8B46B4E828869D7B758283A82s0WC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F98C8553CECAED40E8DD49AA90A200D458648FECE6AC372939B4E30AA499CDB0C95F36157C19BF482B91A8B46B4E828869D7B758283A82s0WCL" TargetMode="External"/><Relationship Id="rId7" Type="http://schemas.openxmlformats.org/officeDocument/2006/relationships/hyperlink" Target="consultantplus://offline/ref=E0F98C8553CECAED40E8DD49AA90A200D6596387E5E9AC372939B4E30AA499CDA2C9073A177E07B9473EC7F9F2s3WCL" TargetMode="External"/><Relationship Id="rId12" Type="http://schemas.openxmlformats.org/officeDocument/2006/relationships/hyperlink" Target="consultantplus://offline/ref=E0F98C8553CECAED40E8DD49AA90A200D458648FECE6AC372939B4E30AA499CDB0C95F36157C19BF432B91A8B46B4E828869D7B758283A82s0WCL" TargetMode="External"/><Relationship Id="rId17" Type="http://schemas.openxmlformats.org/officeDocument/2006/relationships/hyperlink" Target="consultantplus://offline/ref=E0F98C8553CECAED40E8DD49AA90A200D458648FECE6AC372939B4E30AA499CDB0C95F36157C19BF442B91A8B46B4E828869D7B758283A82s0WC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F98C8553CECAED40E8DD49AA90A200D3506C8CE3E3AC372939B4E30AA499CDB0C95F36157C1DB9472B91A8B46B4E828869D7B758283A82s0WCL" TargetMode="External"/><Relationship Id="rId20" Type="http://schemas.openxmlformats.org/officeDocument/2006/relationships/hyperlink" Target="consultantplus://offline/ref=E0F98C8553CECAED40E8DD49AA90A200D458648FECE6AC372939B4E30AA499CDB0C95F36157C19BF462B91A8B46B4E828869D7B758283A82s0W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F98C8553CECAED40E8DD49AA90A200D3506C8CE3E3AC372939B4E30AA499CDB0C95F36157C1DB9412B91A8B46B4E828869D7B758283A82s0WCL" TargetMode="External"/><Relationship Id="rId11" Type="http://schemas.openxmlformats.org/officeDocument/2006/relationships/hyperlink" Target="consultantplus://offline/ref=E0F98C8553CECAED40E8DD49AA90A200D458648FECE6AC372939B4E30AA499CDB0C95F36157C19BF422B91A8B46B4E828869D7B758283A82s0WCL" TargetMode="External"/><Relationship Id="rId24" Type="http://schemas.openxmlformats.org/officeDocument/2006/relationships/hyperlink" Target="consultantplus://offline/ref=E0F98C8553CECAED40E8DD49AA90A200D3506C8CE3E3AC372939B4E30AA499CDB0C95F36157C1DB8412B91A8B46B4E828869D7B758283A82s0WCL" TargetMode="External"/><Relationship Id="rId5" Type="http://schemas.openxmlformats.org/officeDocument/2006/relationships/hyperlink" Target="consultantplus://offline/ref=E0F98C8553CECAED40E8DD49AA90A200D458648FECE6AC372939B4E30AA499CDB0C95F36157C19BF412B91A8B46B4E828869D7B758283A82s0WCL" TargetMode="External"/><Relationship Id="rId15" Type="http://schemas.openxmlformats.org/officeDocument/2006/relationships/hyperlink" Target="consultantplus://offline/ref=E0F98C8553CECAED40E8DD49AA90A200D458648FECE6AC372939B4E30AA499CDB0C95F36157C19BF432B91A8B46B4E828869D7B758283A82s0WCL" TargetMode="External"/><Relationship Id="rId23" Type="http://schemas.openxmlformats.org/officeDocument/2006/relationships/hyperlink" Target="consultantplus://offline/ref=E0F98C8553CECAED40E8DD49AA90A200D3506C8CE3E3AC372939B4E30AA499CDB0C95F36157C1DB8412B91A8B46B4E828869D7B758283A82s0WCL" TargetMode="External"/><Relationship Id="rId10" Type="http://schemas.openxmlformats.org/officeDocument/2006/relationships/hyperlink" Target="consultantplus://offline/ref=E0F98C8553CECAED40E8DD49AA90A200D3506C8CE3E3AC372939B4E30AA499CDB0C95F36157C1DB9432B91A8B46B4E828869D7B758283A82s0WCL" TargetMode="External"/><Relationship Id="rId19" Type="http://schemas.openxmlformats.org/officeDocument/2006/relationships/hyperlink" Target="consultantplus://offline/ref=E0F98C8553CECAED40E8DD49AA90A200D3506C8CE3E3AC372939B4E30AA499CDB0C95F36157C1DB9482B91A8B46B4E828869D7B758283A82s0WC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0F98C8553CECAED40E8DD49AA90A200D3506C8CE3E3AC372939B4E30AA499CDB0C95F36157C1DB9422B91A8B46B4E828869D7B758283A82s0WCL" TargetMode="External"/><Relationship Id="rId14" Type="http://schemas.openxmlformats.org/officeDocument/2006/relationships/hyperlink" Target="consultantplus://offline/ref=E0F98C8553CECAED40E8DD49AA90A200D3506C8CE3E3AC372939B4E30AA499CDB0C95F36157C1DB9452B91A8B46B4E828869D7B758283A82s0WCL" TargetMode="External"/><Relationship Id="rId22" Type="http://schemas.openxmlformats.org/officeDocument/2006/relationships/hyperlink" Target="consultantplus://offline/ref=E0F98C8553CECAED40E8DD49AA90A200D3506C8CE3E3AC372939B4E30AA499CDB0C95F36157C1DB9492B91A8B46B4E828869D7B758283A82s0W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Грибок Людмила</dc:creator>
  <cp:keywords/>
  <dc:description/>
  <cp:lastModifiedBy>Курнакова Алена Александровна</cp:lastModifiedBy>
  <cp:revision>2</cp:revision>
  <dcterms:created xsi:type="dcterms:W3CDTF">2022-07-27T10:15:00Z</dcterms:created>
  <dcterms:modified xsi:type="dcterms:W3CDTF">2022-07-27T10:15:00Z</dcterms:modified>
</cp:coreProperties>
</file>